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73EEC" w:rsidRPr="00673EEC" w:rsidRDefault="00673EEC" w:rsidP="00673EEC">
      <w:pPr>
        <w:shd w:val="clear" w:color="auto" w:fill="FFFFFF"/>
        <w:spacing w:after="0" w:line="240" w:lineRule="auto"/>
        <w:rPr>
          <w:rFonts w:ascii="Arial" w:eastAsia="Times New Roman" w:hAnsi="Arial" w:cs="Arial"/>
          <w:sz w:val="20"/>
          <w:szCs w:val="20"/>
        </w:rPr>
      </w:pPr>
      <w:r w:rsidRPr="00673EEC">
        <w:rPr>
          <w:rFonts w:ascii="Arial" w:eastAsia="Times New Roman" w:hAnsi="Arial" w:cs="Arial"/>
          <w:sz w:val="20"/>
          <w:szCs w:val="20"/>
        </w:rPr>
        <w:fldChar w:fldCharType="begin"/>
      </w:r>
      <w:r w:rsidRPr="00673EEC">
        <w:rPr>
          <w:rFonts w:ascii="Arial" w:eastAsia="Times New Roman" w:hAnsi="Arial" w:cs="Arial"/>
          <w:sz w:val="20"/>
          <w:szCs w:val="20"/>
        </w:rPr>
        <w:instrText xml:space="preserve"> HYPERLINK "https://www.ncbi.nlm.nih.gov/pubmed/19258970" \o "Regional anesthesia and pain medicine." </w:instrText>
      </w:r>
      <w:r w:rsidRPr="00673EEC">
        <w:rPr>
          <w:rFonts w:ascii="Arial" w:eastAsia="Times New Roman" w:hAnsi="Arial" w:cs="Arial"/>
          <w:sz w:val="20"/>
          <w:szCs w:val="20"/>
        </w:rPr>
        <w:fldChar w:fldCharType="separate"/>
      </w:r>
      <w:r w:rsidRPr="00673EEC">
        <w:rPr>
          <w:rFonts w:ascii="Arial" w:eastAsia="Times New Roman" w:hAnsi="Arial" w:cs="Arial"/>
          <w:color w:val="2F4A8B"/>
          <w:sz w:val="20"/>
          <w:szCs w:val="20"/>
          <w:u w:val="single"/>
        </w:rPr>
        <w:t xml:space="preserve">Reg </w:t>
      </w:r>
      <w:proofErr w:type="spellStart"/>
      <w:r w:rsidRPr="00673EEC">
        <w:rPr>
          <w:rFonts w:ascii="Arial" w:eastAsia="Times New Roman" w:hAnsi="Arial" w:cs="Arial"/>
          <w:color w:val="2F4A8B"/>
          <w:sz w:val="20"/>
          <w:szCs w:val="20"/>
          <w:u w:val="single"/>
        </w:rPr>
        <w:t>Anesth</w:t>
      </w:r>
      <w:proofErr w:type="spellEnd"/>
      <w:r w:rsidRPr="00673EEC">
        <w:rPr>
          <w:rFonts w:ascii="Arial" w:eastAsia="Times New Roman" w:hAnsi="Arial" w:cs="Arial"/>
          <w:color w:val="2F4A8B"/>
          <w:sz w:val="20"/>
          <w:szCs w:val="20"/>
          <w:u w:val="single"/>
        </w:rPr>
        <w:t xml:space="preserve"> Pain Med.</w:t>
      </w:r>
      <w:r w:rsidRPr="00673EEC">
        <w:rPr>
          <w:rFonts w:ascii="Arial" w:eastAsia="Times New Roman" w:hAnsi="Arial" w:cs="Arial"/>
          <w:sz w:val="20"/>
          <w:szCs w:val="20"/>
        </w:rPr>
        <w:fldChar w:fldCharType="end"/>
      </w:r>
      <w:r w:rsidRPr="00673EEC">
        <w:rPr>
          <w:rFonts w:ascii="Arial" w:eastAsia="Times New Roman" w:hAnsi="Arial" w:cs="Arial"/>
          <w:sz w:val="20"/>
          <w:szCs w:val="20"/>
        </w:rPr>
        <w:t xml:space="preserve"> 2008 Nov-Dec;33(6):551-7.</w:t>
      </w:r>
    </w:p>
    <w:p w:rsidR="00673EEC" w:rsidRPr="00673EEC" w:rsidRDefault="00673EEC" w:rsidP="00673EEC">
      <w:pPr>
        <w:shd w:val="clear" w:color="auto" w:fill="FFFFFF"/>
        <w:spacing w:before="240" w:after="120" w:line="240" w:lineRule="auto"/>
        <w:outlineLvl w:val="0"/>
        <w:rPr>
          <w:rFonts w:ascii="Arial" w:eastAsia="Times New Roman" w:hAnsi="Arial" w:cs="Arial"/>
          <w:b/>
          <w:bCs/>
          <w:color w:val="000000"/>
          <w:kern w:val="36"/>
          <w:sz w:val="28"/>
          <w:szCs w:val="28"/>
        </w:rPr>
      </w:pPr>
      <w:r w:rsidRPr="00673EEC">
        <w:rPr>
          <w:rFonts w:ascii="Arial" w:eastAsia="Times New Roman" w:hAnsi="Arial" w:cs="Arial"/>
          <w:b/>
          <w:bCs/>
          <w:color w:val="000000"/>
          <w:kern w:val="36"/>
          <w:sz w:val="28"/>
          <w:szCs w:val="28"/>
        </w:rPr>
        <w:t>Feasibility of ultrasound-guided percutaneous placement of peripheral nerve stimulation electrodes in a cadaver model: part one, lower extremity.</w:t>
      </w:r>
    </w:p>
    <w:p w:rsidR="00673EEC" w:rsidRPr="00673EEC" w:rsidRDefault="00673EEC" w:rsidP="00673EEC">
      <w:pPr>
        <w:shd w:val="clear" w:color="auto" w:fill="FFFFFF"/>
        <w:spacing w:after="0" w:line="240" w:lineRule="auto"/>
        <w:rPr>
          <w:rFonts w:ascii="Arial" w:eastAsia="Times New Roman" w:hAnsi="Arial" w:cs="Arial"/>
          <w:sz w:val="20"/>
          <w:szCs w:val="20"/>
        </w:rPr>
      </w:pPr>
      <w:hyperlink r:id="rId4" w:history="1">
        <w:proofErr w:type="spellStart"/>
        <w:r w:rsidRPr="00673EEC">
          <w:rPr>
            <w:rFonts w:ascii="Arial" w:eastAsia="Times New Roman" w:hAnsi="Arial" w:cs="Arial"/>
            <w:color w:val="2F4A8B"/>
            <w:sz w:val="20"/>
            <w:szCs w:val="20"/>
            <w:u w:val="single"/>
          </w:rPr>
          <w:t>Huntoon</w:t>
        </w:r>
        <w:proofErr w:type="spellEnd"/>
        <w:r w:rsidRPr="00673EEC">
          <w:rPr>
            <w:rFonts w:ascii="Arial" w:eastAsia="Times New Roman" w:hAnsi="Arial" w:cs="Arial"/>
            <w:color w:val="2F4A8B"/>
            <w:sz w:val="20"/>
            <w:szCs w:val="20"/>
            <w:u w:val="single"/>
          </w:rPr>
          <w:t xml:space="preserve"> MA</w:t>
        </w:r>
      </w:hyperlink>
      <w:r w:rsidRPr="00673EEC">
        <w:rPr>
          <w:rFonts w:ascii="Arial" w:eastAsia="Times New Roman" w:hAnsi="Arial" w:cs="Arial"/>
          <w:sz w:val="17"/>
          <w:szCs w:val="17"/>
          <w:vertAlign w:val="superscript"/>
        </w:rPr>
        <w:t>1</w:t>
      </w:r>
      <w:r w:rsidRPr="00673EEC">
        <w:rPr>
          <w:rFonts w:ascii="Arial" w:eastAsia="Times New Roman" w:hAnsi="Arial" w:cs="Arial"/>
          <w:sz w:val="20"/>
          <w:szCs w:val="20"/>
        </w:rPr>
        <w:t xml:space="preserve">, </w:t>
      </w:r>
      <w:hyperlink r:id="rId5" w:history="1">
        <w:proofErr w:type="spellStart"/>
        <w:r w:rsidRPr="00673EEC">
          <w:rPr>
            <w:rFonts w:ascii="Arial" w:eastAsia="Times New Roman" w:hAnsi="Arial" w:cs="Arial"/>
            <w:color w:val="2F4A8B"/>
            <w:sz w:val="20"/>
            <w:szCs w:val="20"/>
            <w:u w:val="single"/>
          </w:rPr>
          <w:t>Huntoon</w:t>
        </w:r>
        <w:proofErr w:type="spellEnd"/>
        <w:r w:rsidRPr="00673EEC">
          <w:rPr>
            <w:rFonts w:ascii="Arial" w:eastAsia="Times New Roman" w:hAnsi="Arial" w:cs="Arial"/>
            <w:color w:val="2F4A8B"/>
            <w:sz w:val="20"/>
            <w:szCs w:val="20"/>
            <w:u w:val="single"/>
          </w:rPr>
          <w:t xml:space="preserve"> EA</w:t>
        </w:r>
      </w:hyperlink>
      <w:r w:rsidRPr="00673EEC">
        <w:rPr>
          <w:rFonts w:ascii="Arial" w:eastAsia="Times New Roman" w:hAnsi="Arial" w:cs="Arial"/>
          <w:sz w:val="20"/>
          <w:szCs w:val="20"/>
        </w:rPr>
        <w:t xml:space="preserve">, </w:t>
      </w:r>
      <w:hyperlink r:id="rId6" w:history="1">
        <w:proofErr w:type="spellStart"/>
        <w:r w:rsidRPr="00673EEC">
          <w:rPr>
            <w:rFonts w:ascii="Arial" w:eastAsia="Times New Roman" w:hAnsi="Arial" w:cs="Arial"/>
            <w:color w:val="2F4A8B"/>
            <w:sz w:val="20"/>
            <w:szCs w:val="20"/>
            <w:u w:val="single"/>
          </w:rPr>
          <w:t>Obray</w:t>
        </w:r>
        <w:proofErr w:type="spellEnd"/>
        <w:r w:rsidRPr="00673EEC">
          <w:rPr>
            <w:rFonts w:ascii="Arial" w:eastAsia="Times New Roman" w:hAnsi="Arial" w:cs="Arial"/>
            <w:color w:val="2F4A8B"/>
            <w:sz w:val="20"/>
            <w:szCs w:val="20"/>
            <w:u w:val="single"/>
          </w:rPr>
          <w:t xml:space="preserve"> JB</w:t>
        </w:r>
      </w:hyperlink>
      <w:r w:rsidRPr="00673EEC">
        <w:rPr>
          <w:rFonts w:ascii="Arial" w:eastAsia="Times New Roman" w:hAnsi="Arial" w:cs="Arial"/>
          <w:sz w:val="20"/>
          <w:szCs w:val="20"/>
        </w:rPr>
        <w:t xml:space="preserve">, </w:t>
      </w:r>
      <w:hyperlink r:id="rId7" w:history="1">
        <w:r w:rsidRPr="00673EEC">
          <w:rPr>
            <w:rFonts w:ascii="Arial" w:eastAsia="Times New Roman" w:hAnsi="Arial" w:cs="Arial"/>
            <w:color w:val="2F4A8B"/>
            <w:sz w:val="20"/>
            <w:szCs w:val="20"/>
            <w:u w:val="single"/>
          </w:rPr>
          <w:t>Lamer TJ</w:t>
        </w:r>
      </w:hyperlink>
      <w:r w:rsidRPr="00673EEC">
        <w:rPr>
          <w:rFonts w:ascii="Arial" w:eastAsia="Times New Roman" w:hAnsi="Arial" w:cs="Arial"/>
          <w:sz w:val="20"/>
          <w:szCs w:val="20"/>
        </w:rPr>
        <w:t>.</w:t>
      </w:r>
    </w:p>
    <w:p w:rsidR="00673EEC" w:rsidRPr="00673EEC" w:rsidRDefault="007B247D" w:rsidP="00673EEC">
      <w:pPr>
        <w:shd w:val="clear" w:color="auto" w:fill="FFFFFF"/>
        <w:spacing w:before="308" w:after="154" w:line="240" w:lineRule="auto"/>
        <w:outlineLvl w:val="2"/>
        <w:rPr>
          <w:rFonts w:ascii="Arial" w:eastAsia="Times New Roman" w:hAnsi="Arial" w:cs="Arial"/>
          <w:b/>
          <w:bCs/>
          <w:color w:val="724128"/>
        </w:rPr>
      </w:pPr>
      <w:hyperlink r:id="rId8" w:tooltip="Open/close author information list" w:history="1">
        <w:r w:rsidR="00673EEC" w:rsidRPr="00673EEC">
          <w:rPr>
            <w:rFonts w:ascii="Arial" w:eastAsia="Times New Roman" w:hAnsi="Arial" w:cs="Arial"/>
            <w:b/>
            <w:bCs/>
            <w:color w:val="2F4A8B"/>
            <w:u w:val="single"/>
          </w:rPr>
          <w:t>Author information</w:t>
        </w:r>
      </w:hyperlink>
    </w:p>
    <w:p w:rsidR="00673EEC" w:rsidRPr="00673EEC" w:rsidRDefault="00673EEC" w:rsidP="00673EEC">
      <w:pPr>
        <w:shd w:val="clear" w:color="auto" w:fill="FFFFFF"/>
        <w:spacing w:after="0" w:line="240" w:lineRule="auto"/>
        <w:rPr>
          <w:rFonts w:ascii="Arial" w:eastAsia="Times New Roman" w:hAnsi="Arial" w:cs="Arial"/>
          <w:sz w:val="20"/>
          <w:szCs w:val="20"/>
        </w:rPr>
      </w:pPr>
      <w:r w:rsidRPr="00673EEC">
        <w:rPr>
          <w:rFonts w:ascii="Arial" w:eastAsia="Times New Roman" w:hAnsi="Arial" w:cs="Arial"/>
          <w:sz w:val="20"/>
          <w:szCs w:val="20"/>
        </w:rPr>
        <w:t>1</w:t>
      </w:r>
    </w:p>
    <w:p w:rsidR="00673EEC" w:rsidRPr="00673EEC" w:rsidRDefault="00673EEC" w:rsidP="00673EEC">
      <w:pPr>
        <w:shd w:val="clear" w:color="auto" w:fill="FFFFFF"/>
        <w:spacing w:after="0" w:line="240" w:lineRule="auto"/>
        <w:ind w:left="720"/>
        <w:rPr>
          <w:rFonts w:ascii="Arial" w:eastAsia="Times New Roman" w:hAnsi="Arial" w:cs="Arial"/>
          <w:sz w:val="20"/>
          <w:szCs w:val="20"/>
        </w:rPr>
      </w:pPr>
      <w:r w:rsidRPr="00673EEC">
        <w:rPr>
          <w:rFonts w:ascii="Arial" w:eastAsia="Times New Roman" w:hAnsi="Arial" w:cs="Arial"/>
          <w:sz w:val="20"/>
          <w:szCs w:val="20"/>
        </w:rPr>
        <w:t>Department of Anesthesiology, Mayo Clinic, Rochester, MN 55905, USA. huntoon.marc@mayo.edu</w:t>
      </w:r>
    </w:p>
    <w:p w:rsidR="00673EEC" w:rsidRPr="00673EEC" w:rsidRDefault="00673EEC" w:rsidP="00673EEC">
      <w:pPr>
        <w:shd w:val="clear" w:color="auto" w:fill="FFFFFF"/>
        <w:spacing w:before="308" w:after="154" w:line="240" w:lineRule="auto"/>
        <w:ind w:left="240"/>
        <w:outlineLvl w:val="2"/>
        <w:rPr>
          <w:rFonts w:ascii="Arial" w:eastAsia="Times New Roman" w:hAnsi="Arial" w:cs="Arial"/>
          <w:b/>
          <w:bCs/>
          <w:color w:val="724128"/>
        </w:rPr>
      </w:pPr>
      <w:r w:rsidRPr="00673EEC">
        <w:rPr>
          <w:rFonts w:ascii="Arial" w:eastAsia="Times New Roman" w:hAnsi="Arial" w:cs="Arial"/>
          <w:b/>
          <w:bCs/>
          <w:color w:val="724128"/>
        </w:rPr>
        <w:t>Abstract</w:t>
      </w:r>
    </w:p>
    <w:p w:rsidR="00673EEC" w:rsidRPr="00673EEC" w:rsidRDefault="00673EEC" w:rsidP="00673EEC">
      <w:pPr>
        <w:shd w:val="clear" w:color="auto" w:fill="FFFFFF"/>
        <w:spacing w:before="332" w:after="166" w:line="240" w:lineRule="auto"/>
        <w:ind w:left="240"/>
        <w:outlineLvl w:val="3"/>
        <w:rPr>
          <w:rFonts w:ascii="Arial" w:eastAsia="Times New Roman" w:hAnsi="Arial" w:cs="Arial"/>
          <w:b/>
          <w:bCs/>
          <w:color w:val="59331F"/>
          <w:sz w:val="20"/>
          <w:szCs w:val="20"/>
        </w:rPr>
      </w:pPr>
      <w:r w:rsidRPr="00673EEC">
        <w:rPr>
          <w:rFonts w:ascii="Arial" w:eastAsia="Times New Roman" w:hAnsi="Arial" w:cs="Arial"/>
          <w:b/>
          <w:bCs/>
          <w:color w:val="59331F"/>
          <w:sz w:val="20"/>
          <w:szCs w:val="20"/>
        </w:rPr>
        <w:t xml:space="preserve">BACKGROUND AND OBJECTIVES: </w:t>
      </w:r>
    </w:p>
    <w:p w:rsidR="00673EEC" w:rsidRPr="00673EEC" w:rsidRDefault="00673EEC" w:rsidP="00673EEC">
      <w:pPr>
        <w:shd w:val="clear" w:color="auto" w:fill="FFFFFF"/>
        <w:spacing w:before="100" w:beforeAutospacing="1" w:after="100" w:afterAutospacing="1" w:line="240" w:lineRule="auto"/>
        <w:ind w:left="240"/>
        <w:rPr>
          <w:rFonts w:ascii="Arial" w:eastAsia="Times New Roman" w:hAnsi="Arial" w:cs="Arial"/>
          <w:sz w:val="20"/>
          <w:szCs w:val="20"/>
        </w:rPr>
      </w:pPr>
      <w:r w:rsidRPr="00673EEC">
        <w:rPr>
          <w:rFonts w:ascii="Arial" w:eastAsia="Times New Roman" w:hAnsi="Arial" w:cs="Arial"/>
          <w:sz w:val="20"/>
          <w:szCs w:val="20"/>
        </w:rPr>
        <w:t>Peripheral nerve stimulation (PNS) is analgesic for some lower extremity neuropathic pain syndromes. PNS currently involves open surgical placement of electrode(s). Increasingly, ultrasound guidance is used for perioperative neural block. Minimally invasive placement of PNS electrodes for lower extremity targets using ultrasound guidance has not been reported. We hypothesized that ultrasound-guided placement of PNS electrodes was feasible.</w:t>
      </w:r>
    </w:p>
    <w:p w:rsidR="00673EEC" w:rsidRPr="00673EEC" w:rsidRDefault="00673EEC" w:rsidP="00673EEC">
      <w:pPr>
        <w:shd w:val="clear" w:color="auto" w:fill="FFFFFF"/>
        <w:spacing w:before="332" w:after="166" w:line="240" w:lineRule="auto"/>
        <w:ind w:left="240"/>
        <w:outlineLvl w:val="3"/>
        <w:rPr>
          <w:rFonts w:ascii="Arial" w:eastAsia="Times New Roman" w:hAnsi="Arial" w:cs="Arial"/>
          <w:b/>
          <w:bCs/>
          <w:color w:val="59331F"/>
          <w:sz w:val="20"/>
          <w:szCs w:val="20"/>
        </w:rPr>
      </w:pPr>
      <w:r w:rsidRPr="00673EEC">
        <w:rPr>
          <w:rFonts w:ascii="Arial" w:eastAsia="Times New Roman" w:hAnsi="Arial" w:cs="Arial"/>
          <w:b/>
          <w:bCs/>
          <w:color w:val="59331F"/>
          <w:sz w:val="20"/>
          <w:szCs w:val="20"/>
        </w:rPr>
        <w:t xml:space="preserve">METHODS: </w:t>
      </w:r>
    </w:p>
    <w:p w:rsidR="00673EEC" w:rsidRPr="00673EEC" w:rsidRDefault="00673EEC" w:rsidP="00673EEC">
      <w:pPr>
        <w:shd w:val="clear" w:color="auto" w:fill="FFFFFF"/>
        <w:spacing w:before="100" w:beforeAutospacing="1" w:after="100" w:afterAutospacing="1" w:line="240" w:lineRule="auto"/>
        <w:ind w:left="240"/>
        <w:rPr>
          <w:rFonts w:ascii="Arial" w:eastAsia="Times New Roman" w:hAnsi="Arial" w:cs="Arial"/>
          <w:sz w:val="20"/>
          <w:szCs w:val="20"/>
        </w:rPr>
      </w:pPr>
      <w:r w:rsidRPr="00673EEC">
        <w:rPr>
          <w:rFonts w:ascii="Arial" w:eastAsia="Times New Roman" w:hAnsi="Arial" w:cs="Arial"/>
          <w:sz w:val="20"/>
          <w:szCs w:val="20"/>
        </w:rPr>
        <w:t>Four cadaver mid-thigh transected fresh frozen specimens were studied. Specimens were scanned utilizing a 14 to 7 MHz linear probe and electrodes were placed proximal to the tibial, peroneal, and sciatic nerves at various locations. Anatomical dissection was performed to check placement accuracy and evaluate for grossly visible neural injuries.</w:t>
      </w:r>
    </w:p>
    <w:p w:rsidR="00673EEC" w:rsidRPr="00673EEC" w:rsidRDefault="00673EEC" w:rsidP="00673EEC">
      <w:pPr>
        <w:shd w:val="clear" w:color="auto" w:fill="FFFFFF"/>
        <w:spacing w:before="332" w:after="166" w:line="240" w:lineRule="auto"/>
        <w:ind w:left="240"/>
        <w:outlineLvl w:val="3"/>
        <w:rPr>
          <w:rFonts w:ascii="Arial" w:eastAsia="Times New Roman" w:hAnsi="Arial" w:cs="Arial"/>
          <w:b/>
          <w:bCs/>
          <w:color w:val="59331F"/>
          <w:sz w:val="20"/>
          <w:szCs w:val="20"/>
        </w:rPr>
      </w:pPr>
      <w:r w:rsidRPr="00673EEC">
        <w:rPr>
          <w:rFonts w:ascii="Arial" w:eastAsia="Times New Roman" w:hAnsi="Arial" w:cs="Arial"/>
          <w:b/>
          <w:bCs/>
          <w:color w:val="59331F"/>
          <w:sz w:val="20"/>
          <w:szCs w:val="20"/>
        </w:rPr>
        <w:t xml:space="preserve">RESULTS: </w:t>
      </w:r>
    </w:p>
    <w:p w:rsidR="00673EEC" w:rsidRPr="00673EEC" w:rsidRDefault="00673EEC" w:rsidP="00673EEC">
      <w:pPr>
        <w:shd w:val="clear" w:color="auto" w:fill="FFFFFF"/>
        <w:spacing w:before="100" w:beforeAutospacing="1" w:after="100" w:afterAutospacing="1" w:line="240" w:lineRule="auto"/>
        <w:ind w:left="240"/>
        <w:rPr>
          <w:rFonts w:ascii="Arial" w:eastAsia="Times New Roman" w:hAnsi="Arial" w:cs="Arial"/>
          <w:sz w:val="20"/>
          <w:szCs w:val="20"/>
        </w:rPr>
      </w:pPr>
      <w:r w:rsidRPr="00673EEC">
        <w:rPr>
          <w:rFonts w:ascii="Arial" w:eastAsia="Times New Roman" w:hAnsi="Arial" w:cs="Arial"/>
          <w:sz w:val="20"/>
          <w:szCs w:val="20"/>
        </w:rPr>
        <w:t>Acceptable locations for ultrasound-guided electrode placement were: (1) tibial nerve, approximately 8 to 14 cm superior to the medial malleolus above the tarsal tunnel, or at the upper popliteal fossa; (2) peroneal nerve, approximately 2 to 4 cm inferior to the lateral fibular head or at the upper popliteal fossa; (3) sciatic nerve immediately superior to the bifurcation (high popliteal area); and (4) lateral sural nerve at the lower popliteal fossa. No grossly visible neural injuries were seen. Electrode placements appeared to be in satisfactory locations for stimulation.</w:t>
      </w:r>
    </w:p>
    <w:p w:rsidR="00673EEC" w:rsidRPr="00673EEC" w:rsidRDefault="00673EEC" w:rsidP="00673EEC">
      <w:pPr>
        <w:shd w:val="clear" w:color="auto" w:fill="FFFFFF"/>
        <w:spacing w:before="332" w:after="166" w:line="240" w:lineRule="auto"/>
        <w:ind w:left="240"/>
        <w:outlineLvl w:val="3"/>
        <w:rPr>
          <w:rFonts w:ascii="Arial" w:eastAsia="Times New Roman" w:hAnsi="Arial" w:cs="Arial"/>
          <w:b/>
          <w:bCs/>
          <w:color w:val="59331F"/>
          <w:sz w:val="20"/>
          <w:szCs w:val="20"/>
        </w:rPr>
      </w:pPr>
      <w:r w:rsidRPr="00673EEC">
        <w:rPr>
          <w:rFonts w:ascii="Arial" w:eastAsia="Times New Roman" w:hAnsi="Arial" w:cs="Arial"/>
          <w:b/>
          <w:bCs/>
          <w:color w:val="59331F"/>
          <w:sz w:val="20"/>
          <w:szCs w:val="20"/>
        </w:rPr>
        <w:t xml:space="preserve">CONCLUSIONS: </w:t>
      </w:r>
    </w:p>
    <w:p w:rsidR="00673EEC" w:rsidRPr="00673EEC" w:rsidRDefault="00673EEC" w:rsidP="00673EEC">
      <w:pPr>
        <w:shd w:val="clear" w:color="auto" w:fill="FFFFFF"/>
        <w:spacing w:before="100" w:beforeAutospacing="1" w:after="100" w:afterAutospacing="1" w:line="240" w:lineRule="auto"/>
        <w:ind w:left="240"/>
        <w:rPr>
          <w:rFonts w:ascii="Arial" w:eastAsia="Times New Roman" w:hAnsi="Arial" w:cs="Arial"/>
          <w:sz w:val="20"/>
          <w:szCs w:val="20"/>
        </w:rPr>
      </w:pPr>
      <w:r w:rsidRPr="00673EEC">
        <w:rPr>
          <w:rFonts w:ascii="Arial" w:eastAsia="Times New Roman" w:hAnsi="Arial" w:cs="Arial"/>
          <w:sz w:val="20"/>
          <w:szCs w:val="20"/>
        </w:rPr>
        <w:t>Ultrasound imaging to facilitate peripheral nerve electrode placement is feasible. This new minimally invasive approach to lead placement requires further study to determine trial implantation criteria, optimal locations, anchoring techniques, and best clinical practice.</w:t>
      </w:r>
    </w:p>
    <w:p w:rsidR="00673EEC" w:rsidRDefault="00673EEC" w:rsidP="00673EEC"/>
    <w:sectPr w:rsidR="00673E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47D"/>
    <w:rsid w:val="00032871"/>
    <w:rsid w:val="001E3703"/>
    <w:rsid w:val="00202551"/>
    <w:rsid w:val="002C7DC9"/>
    <w:rsid w:val="00313654"/>
    <w:rsid w:val="00417C54"/>
    <w:rsid w:val="00436279"/>
    <w:rsid w:val="00477833"/>
    <w:rsid w:val="005F35B9"/>
    <w:rsid w:val="00673EEC"/>
    <w:rsid w:val="006F3CC5"/>
    <w:rsid w:val="007B247D"/>
    <w:rsid w:val="00A043E9"/>
    <w:rsid w:val="00A15902"/>
    <w:rsid w:val="00A5691A"/>
    <w:rsid w:val="00B22E8E"/>
    <w:rsid w:val="00BA5BD4"/>
    <w:rsid w:val="00FA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AF868-595D-4025-9F6F-7309AB58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3973">
      <w:bodyDiv w:val="1"/>
      <w:marLeft w:val="0"/>
      <w:marRight w:val="0"/>
      <w:marTop w:val="0"/>
      <w:marBottom w:val="0"/>
      <w:divBdr>
        <w:top w:val="none" w:sz="0" w:space="0" w:color="auto"/>
        <w:left w:val="none" w:sz="0" w:space="0" w:color="auto"/>
        <w:bottom w:val="none" w:sz="0" w:space="0" w:color="auto"/>
        <w:right w:val="none" w:sz="0" w:space="0" w:color="auto"/>
      </w:divBdr>
      <w:divsChild>
        <w:div w:id="240411903">
          <w:marLeft w:val="0"/>
          <w:marRight w:val="1"/>
          <w:marTop w:val="0"/>
          <w:marBottom w:val="0"/>
          <w:divBdr>
            <w:top w:val="none" w:sz="0" w:space="0" w:color="auto"/>
            <w:left w:val="none" w:sz="0" w:space="0" w:color="auto"/>
            <w:bottom w:val="none" w:sz="0" w:space="0" w:color="auto"/>
            <w:right w:val="none" w:sz="0" w:space="0" w:color="auto"/>
          </w:divBdr>
          <w:divsChild>
            <w:div w:id="195167019">
              <w:marLeft w:val="0"/>
              <w:marRight w:val="0"/>
              <w:marTop w:val="0"/>
              <w:marBottom w:val="0"/>
              <w:divBdr>
                <w:top w:val="none" w:sz="0" w:space="0" w:color="auto"/>
                <w:left w:val="none" w:sz="0" w:space="0" w:color="auto"/>
                <w:bottom w:val="none" w:sz="0" w:space="0" w:color="auto"/>
                <w:right w:val="none" w:sz="0" w:space="0" w:color="auto"/>
              </w:divBdr>
              <w:divsChild>
                <w:div w:id="1940522828">
                  <w:marLeft w:val="0"/>
                  <w:marRight w:val="1"/>
                  <w:marTop w:val="0"/>
                  <w:marBottom w:val="0"/>
                  <w:divBdr>
                    <w:top w:val="none" w:sz="0" w:space="0" w:color="auto"/>
                    <w:left w:val="none" w:sz="0" w:space="0" w:color="auto"/>
                    <w:bottom w:val="none" w:sz="0" w:space="0" w:color="auto"/>
                    <w:right w:val="none" w:sz="0" w:space="0" w:color="auto"/>
                  </w:divBdr>
                  <w:divsChild>
                    <w:div w:id="166866987">
                      <w:marLeft w:val="0"/>
                      <w:marRight w:val="0"/>
                      <w:marTop w:val="0"/>
                      <w:marBottom w:val="0"/>
                      <w:divBdr>
                        <w:top w:val="none" w:sz="0" w:space="0" w:color="auto"/>
                        <w:left w:val="none" w:sz="0" w:space="0" w:color="auto"/>
                        <w:bottom w:val="none" w:sz="0" w:space="0" w:color="auto"/>
                        <w:right w:val="none" w:sz="0" w:space="0" w:color="auto"/>
                      </w:divBdr>
                      <w:divsChild>
                        <w:div w:id="2057392864">
                          <w:marLeft w:val="0"/>
                          <w:marRight w:val="0"/>
                          <w:marTop w:val="0"/>
                          <w:marBottom w:val="0"/>
                          <w:divBdr>
                            <w:top w:val="none" w:sz="0" w:space="0" w:color="auto"/>
                            <w:left w:val="none" w:sz="0" w:space="0" w:color="auto"/>
                            <w:bottom w:val="none" w:sz="0" w:space="0" w:color="auto"/>
                            <w:right w:val="none" w:sz="0" w:space="0" w:color="auto"/>
                          </w:divBdr>
                          <w:divsChild>
                            <w:div w:id="1069766605">
                              <w:marLeft w:val="0"/>
                              <w:marRight w:val="0"/>
                              <w:marTop w:val="120"/>
                              <w:marBottom w:val="360"/>
                              <w:divBdr>
                                <w:top w:val="none" w:sz="0" w:space="0" w:color="auto"/>
                                <w:left w:val="none" w:sz="0" w:space="0" w:color="auto"/>
                                <w:bottom w:val="none" w:sz="0" w:space="0" w:color="auto"/>
                                <w:right w:val="none" w:sz="0" w:space="0" w:color="auto"/>
                              </w:divBdr>
                              <w:divsChild>
                                <w:div w:id="1824200047">
                                  <w:marLeft w:val="0"/>
                                  <w:marRight w:val="0"/>
                                  <w:marTop w:val="0"/>
                                  <w:marBottom w:val="0"/>
                                  <w:divBdr>
                                    <w:top w:val="none" w:sz="0" w:space="0" w:color="auto"/>
                                    <w:left w:val="none" w:sz="0" w:space="0" w:color="auto"/>
                                    <w:bottom w:val="none" w:sz="0" w:space="0" w:color="auto"/>
                                    <w:right w:val="none" w:sz="0" w:space="0" w:color="auto"/>
                                  </w:divBdr>
                                </w:div>
                                <w:div w:id="1277368886">
                                  <w:marLeft w:val="0"/>
                                  <w:marRight w:val="0"/>
                                  <w:marTop w:val="0"/>
                                  <w:marBottom w:val="0"/>
                                  <w:divBdr>
                                    <w:top w:val="none" w:sz="0" w:space="0" w:color="auto"/>
                                    <w:left w:val="none" w:sz="0" w:space="0" w:color="auto"/>
                                    <w:bottom w:val="none" w:sz="0" w:space="0" w:color="auto"/>
                                    <w:right w:val="none" w:sz="0" w:space="0" w:color="auto"/>
                                  </w:divBdr>
                                </w:div>
                                <w:div w:id="1761753050">
                                  <w:marLeft w:val="0"/>
                                  <w:marRight w:val="0"/>
                                  <w:marTop w:val="0"/>
                                  <w:marBottom w:val="0"/>
                                  <w:divBdr>
                                    <w:top w:val="none" w:sz="0" w:space="0" w:color="auto"/>
                                    <w:left w:val="none" w:sz="0" w:space="0" w:color="auto"/>
                                    <w:bottom w:val="none" w:sz="0" w:space="0" w:color="auto"/>
                                    <w:right w:val="none" w:sz="0" w:space="0" w:color="auto"/>
                                  </w:divBdr>
                                  <w:divsChild>
                                    <w:div w:id="386951141">
                                      <w:marLeft w:val="0"/>
                                      <w:marRight w:val="0"/>
                                      <w:marTop w:val="0"/>
                                      <w:marBottom w:val="0"/>
                                      <w:divBdr>
                                        <w:top w:val="none" w:sz="0" w:space="0" w:color="auto"/>
                                        <w:left w:val="none" w:sz="0" w:space="0" w:color="auto"/>
                                        <w:bottom w:val="none" w:sz="0" w:space="0" w:color="auto"/>
                                        <w:right w:val="none" w:sz="0" w:space="0" w:color="auto"/>
                                      </w:divBdr>
                                    </w:div>
                                  </w:divsChild>
                                </w:div>
                                <w:div w:id="201094244">
                                  <w:marLeft w:val="0"/>
                                  <w:marRight w:val="0"/>
                                  <w:marTop w:val="0"/>
                                  <w:marBottom w:val="0"/>
                                  <w:divBdr>
                                    <w:top w:val="none" w:sz="0" w:space="0" w:color="auto"/>
                                    <w:left w:val="none" w:sz="0" w:space="0" w:color="auto"/>
                                    <w:bottom w:val="none" w:sz="0" w:space="0" w:color="auto"/>
                                    <w:right w:val="none" w:sz="0" w:space="0" w:color="auto"/>
                                  </w:divBdr>
                                  <w:divsChild>
                                    <w:div w:id="13186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9258970" TargetMode="External"/><Relationship Id="rId3" Type="http://schemas.openxmlformats.org/officeDocument/2006/relationships/webSettings" Target="webSettings.xml"/><Relationship Id="rId7" Type="http://schemas.openxmlformats.org/officeDocument/2006/relationships/hyperlink" Target="https://www.ncbi.nlm.nih.gov/pubmed/?term=Lamer%20TJ%5BAuthor%5D&amp;cauthor=true&amp;cauthor_uid=192589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Obray%20JB%5BAuthor%5D&amp;cauthor=true&amp;cauthor_uid=19258970" TargetMode="External"/><Relationship Id="rId5" Type="http://schemas.openxmlformats.org/officeDocument/2006/relationships/hyperlink" Target="https://www.ncbi.nlm.nih.gov/pubmed/?term=Huntoon%20EA%5BAuthor%5D&amp;cauthor=true&amp;cauthor_uid=19258970" TargetMode="External"/><Relationship Id="rId10" Type="http://schemas.openxmlformats.org/officeDocument/2006/relationships/theme" Target="theme/theme1.xml"/><Relationship Id="rId4" Type="http://schemas.openxmlformats.org/officeDocument/2006/relationships/hyperlink" Target="https://www.ncbi.nlm.nih.gov/pubmed/?term=Huntoon%20MA%5BAuthor%5D&amp;cauthor=true&amp;cauthor_uid=1925897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Lockman</dc:creator>
  <cp:keywords/>
  <cp:lastModifiedBy>Scot Sarver</cp:lastModifiedBy>
  <cp:revision>2</cp:revision>
  <dcterms:created xsi:type="dcterms:W3CDTF">2018-05-29T17:27:00Z</dcterms:created>
  <dcterms:modified xsi:type="dcterms:W3CDTF">2018-05-29T17:27:00Z</dcterms:modified>
</cp:coreProperties>
</file>